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Anexo 2</w:t>
      </w:r>
    </w:p>
    <w:tbl>
      <w:tblPr>
        <w:tblStyle w:val="Table1"/>
        <w:tblW w:w="11070.0" w:type="dxa"/>
        <w:jc w:val="left"/>
        <w:tblInd w:w="-111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30"/>
        <w:gridCol w:w="1230"/>
        <w:gridCol w:w="1170"/>
        <w:gridCol w:w="1185"/>
        <w:gridCol w:w="1050"/>
        <w:gridCol w:w="1050"/>
        <w:gridCol w:w="1080"/>
        <w:gridCol w:w="945"/>
        <w:gridCol w:w="1230"/>
        <w:tblGridChange w:id="0">
          <w:tblGrid>
            <w:gridCol w:w="2130"/>
            <w:gridCol w:w="1230"/>
            <w:gridCol w:w="1170"/>
            <w:gridCol w:w="1185"/>
            <w:gridCol w:w="1050"/>
            <w:gridCol w:w="1050"/>
            <w:gridCol w:w="1080"/>
            <w:gridCol w:w="945"/>
            <w:gridCol w:w="1230"/>
          </w:tblGrid>
        </w:tblGridChange>
      </w:tblGrid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206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c00000"/>
                <w:rtl w:val="0"/>
              </w:rPr>
              <w:t xml:space="preserve">HOJA DE TRABAJO GRUPOS DE INTERÉS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Título del Proyecto: Diseño de metodología para la selección y manipulación del aguacate tipo exportación del departamento del Cauca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Equipo (nombre y código): Persea Mills  -  107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Metodología: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f5496"/>
                <w:sz w:val="18"/>
                <w:szCs w:val="18"/>
                <w:rtl w:val="0"/>
              </w:rPr>
              <w:t xml:space="preserve">DMAIC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7030a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70c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Etapa: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23e4f"/>
                <w:sz w:val="18"/>
                <w:szCs w:val="18"/>
                <w:rtl w:val="0"/>
              </w:rPr>
              <w:t xml:space="preserve">DEFINIR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  <w:rtl w:val="0"/>
              </w:rPr>
              <w:t xml:space="preserve">GRUPOS DE INTERÉS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2060"/>
                <w:rtl w:val="0"/>
              </w:rPr>
              <w:t xml:space="preserve">RELACIÓN CON EL PROYECTO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18"/>
                <w:szCs w:val="18"/>
                <w:rtl w:val="0"/>
              </w:rPr>
              <w:t xml:space="preserve">PRIORIDAD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Influye en el resultado del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Afectado por el Proyecto y/o su resultado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Suministra recursos al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Puede tomar decisiones sobre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Aporta conocimientos útiles al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Tiene influencia legal o normativa en el Proyecto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ind w:left="113" w:right="113" w:firstLine="0"/>
              <w:jc w:val="center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Otros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ASCAFÉ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Pequeños agricultores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Transportadores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Puertos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Clientes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Equipo de trabajo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Organizaciones reguladoras y normativas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Gremios de aguacateros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righ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gridSpan w:val="9"/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Se obtiene información de los datos suministrados por la empresa.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12"/>
          <w:szCs w:val="12"/>
          <w:rtl w:val="0"/>
        </w:rPr>
        <w:t xml:space="preserve">(Modificado de Las Claves Prácticas de Seis Sigma – Pande, Neuman y Cavanagh – McGraw-Hill)</w:t>
      </w:r>
    </w:p>
    <w:p w:rsidR="00000000" w:rsidDel="00000000" w:rsidP="00000000" w:rsidRDefault="00000000" w:rsidRPr="00000000" w14:paraId="0000009A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Fecha de elaboración: 10/Marzo/2022</w:t>
      </w:r>
    </w:p>
    <w:p w:rsidR="00000000" w:rsidDel="00000000" w:rsidP="00000000" w:rsidRDefault="00000000" w:rsidRPr="00000000" w14:paraId="0000009B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aconcuadrcula">
    <w:name w:val="Table Grid"/>
    <w:basedOn w:val="Tablanormal"/>
    <w:uiPriority w:val="39"/>
    <w:rsid w:val="0066214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8w/eNFnbpchiRuoYexfF0EXNKqQ==">AMUW2mUduBlQrfPyMSOVFTZQq7NWBRFecJCC0BSt4/xymW27KCbsy/RkMm4uweN1zPjRV7GM4UN7YlrepE3C8XGMFWDpII9U7blGxFbUjAPmZihDeCsS84Y=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2022-02-24T21:08:00Z</dcterms:created>
  <dc:creator>Usuario</dc:creator>
</cp:coreProperties>
</file>